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КАЗАХСКИЙ НАЦИОНАЛЬНЫЙ УНИВЕРСИТЕТ ИМЕНИ АЛЬ-ФАРАБИ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Факультет медицины и здравоохранения </w:t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Высш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ая школа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Кафедра фундаментальной медицины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66" w:lineRule="auto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8"/>
          <w:szCs w:val="28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ПРОГРАММА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" w:cs="Times" w:eastAsia="Times" w:hAnsi="Times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выпускного экзамена по дисциплине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3" w:lineRule="auto"/>
        <w:ind w:right="878"/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клеточная и молекулярная патобиология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«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Cell and molecular pathobiology»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highlight w:val="white"/>
          <w:rtl w:val="0"/>
        </w:rPr>
        <w:t xml:space="preserve">5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353" w:hanging="2353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2353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8" w:firstLine="0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Утвержденная форма итогового экзамена - письменный экзамен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16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319" w:lineRule="auto"/>
        <w:ind w:left="11" w:right="349" w:firstLine="0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Ожидаемые результаты: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Магистранты на выпускном экзамене должны: </w:t>
      </w:r>
    </w:p>
    <w:p w:rsidR="00000000" w:rsidDel="00000000" w:rsidP="00000000" w:rsidRDefault="00000000" w:rsidRPr="00000000" w14:paraId="0000000D">
      <w:pPr>
        <w:ind w:left="16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Продемонстрировать знание основных концепций клеточной и молекулярной биологии для объяснения механизмов протекающих в организме в условиях нормальной физиологии;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Продемонстрировать знание основных концепций клеточной и молекулярной биологии для объяснения механизмов патологических процессов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Продемонстрировать аналитические навыки в интеграции знаний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механизмов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молекулярной и клеточной пато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биологии при формировании суждений относительно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  механизмов протекающих в организме человека в условиях возникновения, развития заболевания и терапии (механизмы процессов на молекулярном уровне);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27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Общие принципы построения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rtl w:val="0"/>
        </w:rPr>
        <w:t xml:space="preserve">медицинских исследований;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Продемонстрировать знания современных методов молекулярного исследования в медицине.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Умение применять методы молекулярного исследования в научной работе  и 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нтерпретировать результаты молекулярных методов в диагностике и прогнозировании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 (определение методов молекулярного анализа);   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Самостоятельно находить, анализировать и обобщать информацию из опубликованных научных статей для проектирования молекулярных исследований в научных работах;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line="27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Эффективно общаться с другими студентами, исследователями и преподавателями относительно медицинской и научной информации, результатов исследования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8"/>
          <w:szCs w:val="28"/>
          <w:highlight w:val="white"/>
          <w:rtl w:val="0"/>
        </w:rPr>
        <w:t xml:space="preserve">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before="0" w:line="276" w:lineRule="auto"/>
        <w:ind w:left="720" w:hanging="360"/>
        <w:rPr>
          <w:rFonts w:ascii="Times New Roman" w:cs="Times New Roman" w:eastAsia="Times New Roman" w:hAnsi="Times New Roman"/>
          <w:color w:val="202124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02124"/>
          <w:sz w:val="28"/>
          <w:szCs w:val="28"/>
          <w:rtl w:val="0"/>
        </w:rPr>
        <w:t xml:space="preserve">Четко формулировать свое мнение при обсуждении клеточных и молекулярных патобиологических процессов и их воздействия, а также эффективно работать в качестве члена исследовательской группы.</w:t>
      </w:r>
    </w:p>
    <w:p w:rsidR="00000000" w:rsidDel="00000000" w:rsidP="00000000" w:rsidRDefault="00000000" w:rsidRPr="00000000" w14:paraId="00000017">
      <w:pPr>
        <w:spacing w:line="276" w:lineRule="auto"/>
        <w:ind w:left="16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16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Темы, включенные в итоговый экзамен: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ind w:left="17" w:right="1925" w:firstLine="3.0000000000000004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ind w:right="192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Примерная типология экзаменационных заданий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3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3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Репликация и механизм восстановления ДНК.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Транскрипция и трансляция генетической информации.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Экспрессия генов. Транскрипционные факторы: регуляция трансляции. Основные внутриклеточные сигнальные пути.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Повреждение ДНК и механизм развития заболеваний.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Клеточный цикл и восстановление ДНК. Повреждение ДНК и мутации.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Инфекционные или вирусные агенты, ответственные за возникновение и прогрессирование заболеваний у человека. Молекулярный механизм.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Эпигенетика, эпигенетическая регуляция экспрессии генов. Механизмы эпигенетической регуляции: метилирование, ацетилирование ДНК.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Заболевания связаны с эпигенетикой. Пример и молекулярный механизм.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Эпигенетические изменения, ответственные за заболевания у человека. Пример и молекулярный механизм.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Генетика и геномика рака, Генетика и геномика рака, наследственные синдромы рака и семейное возникновение рака.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7"/>
          <w:szCs w:val="27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7"/>
          <w:szCs w:val="27"/>
          <w:rtl w:val="0"/>
        </w:rPr>
        <w:t xml:space="preserve">Современные диагностические методы в медицине. ДНК-технологии, секвенирование генома: метод Сэнгера, секвенирование следующего поколения, иммуногистохимия, FISH.</w:t>
      </w:r>
    </w:p>
    <w:p w:rsidR="00000000" w:rsidDel="00000000" w:rsidP="00000000" w:rsidRDefault="00000000" w:rsidRPr="00000000" w14:paraId="00000027">
      <w:pPr>
        <w:spacing w:before="3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3" w:lineRule="auto"/>
        <w:jc w:val="both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Инструкции по технологии проведения экзамена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335" w:lineRule="auto"/>
        <w:ind w:left="39" w:firstLine="0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Экзамен длится 1.30 час.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33" w:lineRule="auto"/>
        <w:ind w:left="10" w:right="100" w:firstLine="1.0000000000000009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В указанное время студент заходит на сайт «app.oqylyq.kz». 3. Студент получает логин и пароль от ИС Универ. 4. Билеты для каждого студента оформляются автоматически.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8" w:right="157" w:firstLine="11"/>
        <w:jc w:val="both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5. Экзамен начинается с обязательного наблюдателя (нельзя выключать камеру и микрофон): - Вам понадобится ноутбук с веб-камерой или домашний компьютер. В противном случае вы можете использовать камеру вашего смартфона, например, с клиентским приложением DroidCam.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5" w:lineRule="auto"/>
        <w:ind w:left="8" w:right="163" w:firstLine="10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6. Ответ печатается в самой программе OQYLYQ. Прием рукописного бланка ответа на бумаге НЕ предусмотрен.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6" w:lineRule="auto"/>
        <w:ind w:left="16" w:right="100" w:hanging="1.0000000000000009"/>
        <w:rPr>
          <w:rFonts w:ascii="Times" w:cs="Times" w:eastAsia="Times" w:hAnsi="Times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7. По окончании экзамена студент нажимает кнопку «Готово». 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6" w:lineRule="auto"/>
        <w:ind w:left="16" w:right="100" w:hanging="1.00000000000000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253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ind w:left="720" w:firstLine="0"/>
        <w:rPr>
          <w:rFonts w:ascii="Times New Roman" w:cs="Times New Roman" w:eastAsia="Times New Roman" w:hAnsi="Times New Roman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576" w:lineRule="auto"/>
        <w:ind w:left="3188" w:firstLine="0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highlight w:val="white"/>
          <w:rtl w:val="0"/>
        </w:rPr>
        <w:t xml:space="preserve">Шкала качества ответ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ов</w:t>
      </w:r>
    </w:p>
    <w:tbl>
      <w:tblPr>
        <w:tblStyle w:val="Table1"/>
        <w:tblW w:w="9563.0" w:type="dxa"/>
        <w:jc w:val="left"/>
        <w:tblInd w:w="-100.0" w:type="dxa"/>
        <w:tblLayout w:type="fixed"/>
        <w:tblLook w:val="0400"/>
      </w:tblPr>
      <w:tblGrid>
        <w:gridCol w:w="1353"/>
        <w:gridCol w:w="6848"/>
        <w:gridCol w:w="1362"/>
        <w:tblGridChange w:id="0">
          <w:tblGrid>
            <w:gridCol w:w="1353"/>
            <w:gridCol w:w="6848"/>
            <w:gridCol w:w="1362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Критерии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Шкала, баллы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ind w:left="27" w:firstLine="2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все ключевые аспекты включены и представлены логически; 2. высокая точность (актуальность, без избыточности) и постоянная фокусировка на вопросе;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15" w:lineRule="auto"/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отличная интеграция теоретических вопросов;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предоставление соответствующих примеров;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90–100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tbl>
      <w:tblPr>
        <w:tblStyle w:val="Table2"/>
        <w:tblW w:w="9600.0" w:type="dxa"/>
        <w:jc w:val="left"/>
        <w:tblInd w:w="-100.0" w:type="dxa"/>
        <w:tblLayout w:type="fixed"/>
        <w:tblLook w:val="0400"/>
      </w:tblPr>
      <w:tblGrid>
        <w:gridCol w:w="1380"/>
        <w:gridCol w:w="6855"/>
        <w:gridCol w:w="1365"/>
        <w:tblGridChange w:id="0">
          <w:tblGrid>
            <w:gridCol w:w="1380"/>
            <w:gridCol w:w="6855"/>
            <w:gridCol w:w="1365"/>
          </w:tblGrid>
        </w:tblGridChange>
      </w:tblGrid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ind w:left="20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Углубленный анализ и теоретическое обоснование данной проблемы (если применимо), выявление и интерпретация всех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15" w:lineRule="auto"/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свободное владение профессиональной терминологией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2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ind w:left="2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ind w:left="27" w:right="15" w:firstLine="27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все ключевые аспекты включены и представлены логически; 2. постоянное внимание к вопросу с удовлетворительной точностью, релевантностью и / или некоторой избыточностью;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before="15" w:lineRule="auto"/>
              <w:ind w:left="32" w:right="1648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удовлетворительная интеграция теоретических вопросов; 3. отсутствие примеров;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before="21" w:lineRule="auto"/>
              <w:ind w:left="20" w:right="2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удовлетворительный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75 - 89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before="1555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before="292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удовл.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Включено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большинство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ind w:left="27" w:right="12" w:hanging="2.99999999999999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удовлетворительное внимание к вопросу - некоторые упущения уместности и / или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ind w:left="20" w:firstLine="12.00000000000000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Теоретические вопросы представлены без заметной интеграции; 3. Предоставление неудачных примеров или их отсутствие; 4. некоторый анализ и теоретическое обоснование данной проблемы (если применимо), выявление и интерпретация большинства ключевых аспектов;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5. правильное использование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ind w:left="3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50 - 70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before="1540" w:lineRule="auto"/>
              <w:ind w:left="5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before="292" w:lineRule="auto"/>
              <w:ind w:left="4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ind w:left="22" w:right="6" w:hanging="1.0000000000000009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неудовлетворительно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упущено большинство ключевых моментов;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left="23" w:right="8" w:firstLine="2.9999999999999982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Отсутствие внимания к вопросу - отсутствие актуальности и заметная избыточность;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32" w:right="1375" w:firstLine="0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некоторые теоретические вопросы представлены так или иначе; 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ind w:left="20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некоторый анализ и теоретическое обоснование данной проблемы (если применимо), большинство ключевых аспектов упущены;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ind w:left="2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25–49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before="1540" w:lineRule="auto"/>
              <w:ind w:left="49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6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удалось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ind w:left="54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1. упущено большинство или все ключевые аспекты;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ind w:left="26" w:right="1585" w:hanging="6.000000000000001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2. отсутствие акцента на вопросе, несущественная информация; 3. пропущенные или поверхностные теоретические вопросы;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before="21" w:lineRule="auto"/>
              <w:ind w:left="32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3. нет или не относящиеся к делу примеры;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ind w:left="20" w:right="5" w:firstLine="5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4. отсутствие анализа и теоретического обоснования данной проблемы (если применимо), упущено большинство ключевых аспектов; 5. упущения в использовании профессиональной терминологии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ind w:left="31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right="3724"/>
        <w:jc w:val="right"/>
        <w:rPr>
          <w:rFonts w:ascii="Times" w:cs="Times" w:eastAsia="Times" w:hAnsi="Times"/>
          <w:b w:val="1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Система оценок</w:t>
      </w:r>
      <w:r w:rsidDel="00000000" w:rsidR="00000000" w:rsidRPr="00000000">
        <w:rPr>
          <w:rtl w:val="0"/>
        </w:rPr>
      </w:r>
    </w:p>
    <w:tbl>
      <w:tblPr>
        <w:tblStyle w:val="Table3"/>
        <w:tblW w:w="9487.0" w:type="dxa"/>
        <w:jc w:val="left"/>
        <w:tblInd w:w="-90.0" w:type="dxa"/>
        <w:tblLayout w:type="fixed"/>
        <w:tblLook w:val="0400"/>
      </w:tblPr>
      <w:tblGrid>
        <w:gridCol w:w="1868"/>
        <w:gridCol w:w="3059"/>
        <w:gridCol w:w="1783"/>
        <w:gridCol w:w="2777"/>
        <w:tblGridChange w:id="0">
          <w:tblGrid>
            <w:gridCol w:w="1868"/>
            <w:gridCol w:w="3059"/>
            <w:gridCol w:w="1783"/>
            <w:gridCol w:w="2777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Буквенная 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Цифровой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before="3" w:lineRule="auto"/>
              <w:ind w:right="186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эквивалент оценки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% содержание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highlight w:val="white"/>
                <w:rtl w:val="0"/>
              </w:rPr>
              <w:t xml:space="preserve">Традиционная системная оценка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95–100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отлично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-90.0" w:type="dxa"/>
        <w:tblLayout w:type="fixed"/>
        <w:tblLook w:val="0400"/>
      </w:tblPr>
      <w:tblGrid>
        <w:gridCol w:w="1875"/>
        <w:gridCol w:w="3075"/>
        <w:gridCol w:w="1770"/>
        <w:gridCol w:w="2775"/>
        <w:tblGridChange w:id="0">
          <w:tblGrid>
            <w:gridCol w:w="1875"/>
            <w:gridCol w:w="3075"/>
            <w:gridCol w:w="1770"/>
            <w:gridCol w:w="277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90-94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В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85-89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хорошо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80-84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75-79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 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70-74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удовлетворительно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, 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65–69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С-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60–64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+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1,33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55-59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ind w:right="768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           1,0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50-54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5-49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неудовлетворительно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before="334" w:lineRule="auto"/>
              <w:ind w:left="330" w:right="28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«Дисциплина не завершена»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принимается во внимание при 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0-24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9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(Incomplete)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(Pass)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«Зачтено»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(No Pass)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«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зачтено»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before="3" w:lineRule="auto"/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8">
            <w:pPr>
              <w:ind w:right="738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(Withdrawal)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«Отказ от дисциплины»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(Academic withdrawal)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Отказ по академическим причинам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ind w:right="678"/>
              <w:jc w:val="righ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(Аудит)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«Дисциплина прослушана»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ind w:left="370" w:right="314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(не учитывается при при подсчете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highlight w:val="white"/>
                <w:rtl w:val="0"/>
              </w:rPr>
              <w:t xml:space="preserve">GPA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30-60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50–100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Аттестован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Не атт.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0–29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before="3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0–49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Не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аттестован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R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(Пересдача)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Повторное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highlight w:val="white"/>
                <w:rtl w:val="0"/>
              </w:rPr>
              <w:t xml:space="preserve">изучение дисциплины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rPr>
          <w:rFonts w:ascii="Times" w:cs="Times" w:eastAsia="Times" w:hAnsi="Times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Основная литература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Human Genetics, Ricki Lewis. 2018</w:t>
      </w:r>
    </w:p>
    <w:p w:rsidR="00000000" w:rsidDel="00000000" w:rsidP="00000000" w:rsidRDefault="00000000" w:rsidRPr="00000000" w14:paraId="000000C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Medical Genetics at a Glance, Dorian J.Pritchard, Bruce R.Korf. 2013</w:t>
      </w:r>
    </w:p>
    <w:p w:rsidR="00000000" w:rsidDel="00000000" w:rsidP="00000000" w:rsidRDefault="00000000" w:rsidRPr="00000000" w14:paraId="000000C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Basic pathology, Robbins and Cotran Pathologic Basis of Disease [Electronic resource]: textbook / ed.: V. Kumar, A. Abbas, J. Aster. - Philadelphia : Elsevier Saunders, 2015. - 1392 p. - ISBN 978-1-4557-2613-4 : 0.00</w:t>
      </w:r>
    </w:p>
    <w:p w:rsidR="00000000" w:rsidDel="00000000" w:rsidP="00000000" w:rsidRDefault="00000000" w:rsidRPr="00000000" w14:paraId="000000CE">
      <w:pPr>
        <w:ind w:left="425" w:firstLine="0"/>
        <w:jc w:val="both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Дополнительная 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 et al.  The Contribution of Genetic Variants to the Risk of Papillary Thyroid Carcinoma in the Kazakh Population: Study of Common Single Nucleotide Polymorphisms and Their Clinicopathological Correlations. Front Endocrinol 2021 doi: 10.3389/fendo.2020.543500.</w:t>
      </w:r>
    </w:p>
    <w:p w:rsidR="00000000" w:rsidDel="00000000" w:rsidP="00000000" w:rsidRDefault="00000000" w:rsidRPr="00000000" w14:paraId="000000D2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 Immunohistochemical and Molecular Analyses Focusing on Mesenchymal Cells in Papillary Thyroid Carcinoma with Desmoid-Type Fibromatosis. Pathobiology. 2018. DOI: 10.1159/000492117</w:t>
      </w:r>
    </w:p>
    <w:p w:rsidR="00000000" w:rsidDel="00000000" w:rsidP="00000000" w:rsidRDefault="00000000" w:rsidRPr="00000000" w14:paraId="000000D3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Maria Romano et al. A Structural View of SARS-CoV-2 RNA Replication Machinery: RNA Synthesis, Proofreading and Final Capping. Cell. 2020. doi:10.3390/cells9051267</w:t>
      </w:r>
    </w:p>
    <w:p w:rsidR="00000000" w:rsidDel="00000000" w:rsidP="00000000" w:rsidRDefault="00000000" w:rsidRPr="00000000" w14:paraId="000000D4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Adriaan H. de Wilde et al. Host Factors in Coronavirus Replication. Microbiology and Immunology. 2018. DOI 10.1007/82_2017_25</w:t>
      </w:r>
    </w:p>
    <w:p w:rsidR="00000000" w:rsidDel="00000000" w:rsidP="00000000" w:rsidRDefault="00000000" w:rsidRPr="00000000" w14:paraId="000000D5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  Association between p53-binding protein 1 expression and genomic instability in oncocytic follicular adenoma of the thyroid. Endocr J. 2016 doi: 10.1507/endocrj.EJ15-0629.</w:t>
      </w:r>
    </w:p>
    <w:p w:rsidR="00000000" w:rsidDel="00000000" w:rsidP="00000000" w:rsidRDefault="00000000" w:rsidRPr="00000000" w14:paraId="000000D6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Mussazhanova, et al. A Novel Diagnostic Method for Thyroid Follicular Tumors Based on Immunofluorescence Analysis of p53-Binding Protein 1 Expression: Detection of Genomic Instability. Thyroid. 2019. doi: 10.1089/thy.2018.0548.</w:t>
      </w:r>
    </w:p>
    <w:p w:rsidR="00000000" w:rsidDel="00000000" w:rsidP="00000000" w:rsidRDefault="00000000" w:rsidRPr="00000000" w14:paraId="000000D7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Zhanna Mussazhanova et al. Causative role for defective expression of mitochondria-eating protein in accumulation of mitochondria in thyroid oncocytic cell tumors. Cancer Sci. 2020. doi:10.1111/cas.14501.</w:t>
      </w:r>
    </w:p>
    <w:p w:rsidR="00000000" w:rsidDel="00000000" w:rsidP="00000000" w:rsidRDefault="00000000" w:rsidRPr="00000000" w14:paraId="000000D8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Cornelia C. Bergmann, COVID-19: Coronavirus replication, pathogenesis, and therapeutic strategies. 2020. doi:10.3949/ccjm.87a.20047</w:t>
      </w:r>
    </w:p>
    <w:p w:rsidR="00000000" w:rsidDel="00000000" w:rsidP="00000000" w:rsidRDefault="00000000" w:rsidRPr="00000000" w14:paraId="000000D9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Yan-Rong Guo et al. The origin, transmission and clinical therapies on coronavirus disease 2019 (COVID-19) outbreak – an update on the status. Military Medical Research 2020, https://doi.org/10.1186/s40779-020-00240-0</w:t>
      </w:r>
    </w:p>
    <w:p w:rsidR="00000000" w:rsidDel="00000000" w:rsidP="00000000" w:rsidRDefault="00000000" w:rsidRPr="00000000" w14:paraId="000000DA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Adriaan H. et al. Host Factors in Coronavirus Replication. Microbiology and Immunology, 2018, DOI 10.1007/82_2017_25</w:t>
      </w:r>
    </w:p>
    <w:p w:rsidR="00000000" w:rsidDel="00000000" w:rsidP="00000000" w:rsidRDefault="00000000" w:rsidRPr="00000000" w14:paraId="000000DB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Gupta and Mania-Pramanik, Molecular mechanisms in progression of HPV-associated cervical carcinogenesis. Journal of Biomedical Science.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2019,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single"/>
            <w:rtl w:val="0"/>
          </w:rPr>
          <w:t xml:space="preserve">https://doi.org/10.1186/s12929-019-0520-2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Min Lin et al. Recent Advances on the Molecular Mechanism of Cervical Carcinogenesi. 2019.https://doi.org/10.1016/j.csbj.2019.02.001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ind w:left="720" w:right="173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Ryota Otsubo et al.  A Novel Diagnostic Method for Thyroid Follicular Tumors Based on Immunofluorescence Analysis of p53-Binding Protein 1 expression: Detection of genomic instability. THYROID. 2019, DOI: 10.1089/thy.2018.0548</w:t>
      </w:r>
    </w:p>
    <w:p w:rsidR="00000000" w:rsidDel="00000000" w:rsidP="00000000" w:rsidRDefault="00000000" w:rsidRPr="00000000" w14:paraId="000000DE">
      <w:pPr>
        <w:ind w:right="173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oi.org/10.1186/s12929-019-0520-2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Lu6wriIoDga9X942YlwDp1F9Qg==">CgMxLjA4AHIhMWFqa2oyTlNSVHlDVXJuRngxVXUzMi1ZQzJZY2ZPai1f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